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4D3B" w14:textId="77777777" w:rsidR="00890895" w:rsidRDefault="00890895" w:rsidP="00890895">
      <w:pPr>
        <w:tabs>
          <w:tab w:val="left" w:pos="2410"/>
        </w:tabs>
        <w:suppressAutoHyphens/>
        <w:rPr>
          <w:rFonts w:ascii="Verdana" w:hAnsi="Verdana"/>
          <w:color w:val="92766F"/>
          <w:sz w:val="48"/>
          <w:szCs w:val="48"/>
          <w:lang w:val="en-US"/>
        </w:rPr>
      </w:pPr>
      <w:r w:rsidRPr="00890895">
        <w:rPr>
          <w:rFonts w:ascii="Verdana" w:hAnsi="Verdana"/>
          <w:color w:val="92766F"/>
          <w:sz w:val="48"/>
          <w:szCs w:val="48"/>
          <w:lang w:val="en-US"/>
        </w:rPr>
        <w:t>VERTEX STYLE</w:t>
      </w:r>
    </w:p>
    <w:p w14:paraId="4C53BBF5" w14:textId="7B2FD050" w:rsidR="00890895" w:rsidRDefault="00890895" w:rsidP="00890895">
      <w:pPr>
        <w:tabs>
          <w:tab w:val="left" w:pos="2410"/>
        </w:tabs>
        <w:suppressAutoHyphens/>
        <w:rPr>
          <w:rFonts w:ascii="Verdana" w:hAnsi="Verdana"/>
          <w:sz w:val="20"/>
          <w:szCs w:val="20"/>
          <w:lang w:val="en-US"/>
        </w:rPr>
      </w:pPr>
      <w:r w:rsidRPr="00890895">
        <w:rPr>
          <w:rFonts w:ascii="Verdana" w:hAnsi="Verdana"/>
          <w:sz w:val="20"/>
          <w:szCs w:val="20"/>
          <w:lang w:val="en-US"/>
        </w:rPr>
        <w:t xml:space="preserve">In both traditional and trendy newly build and renovation projects large glazed sections and terrace windows are often used to optimise natural lighting and thus limiting the open wall space. With the Vertex Style Stelrad offers you the ideal solution. When combining the Vertex Style with Planar Style </w:t>
      </w:r>
      <w:r w:rsidR="00CB32F9">
        <w:rPr>
          <w:rFonts w:ascii="Verdana" w:hAnsi="Verdana"/>
          <w:sz w:val="20"/>
          <w:szCs w:val="20"/>
          <w:lang w:val="en-US"/>
        </w:rPr>
        <w:t xml:space="preserve">8 </w:t>
      </w:r>
      <w:r w:rsidRPr="00890895">
        <w:rPr>
          <w:rFonts w:ascii="Verdana" w:hAnsi="Verdana"/>
          <w:sz w:val="20"/>
          <w:szCs w:val="20"/>
          <w:lang w:val="en-US"/>
        </w:rPr>
        <w:t>and Compact Style models a light and spacious feeling is created throughout your home.</w:t>
      </w:r>
    </w:p>
    <w:p w14:paraId="435E72A8" w14:textId="77777777" w:rsidR="00890895" w:rsidRPr="00890895" w:rsidRDefault="00890895" w:rsidP="00890895">
      <w:pPr>
        <w:tabs>
          <w:tab w:val="left" w:pos="2410"/>
        </w:tabs>
        <w:suppressAutoHyphens/>
        <w:rPr>
          <w:rFonts w:ascii="Verdana" w:hAnsi="Verdana"/>
          <w:sz w:val="20"/>
          <w:szCs w:val="20"/>
          <w:lang w:val="en-US"/>
        </w:rPr>
      </w:pPr>
    </w:p>
    <w:p w14:paraId="196169E8"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Product:</w:t>
      </w:r>
      <w:r w:rsidRPr="00890895">
        <w:rPr>
          <w:rFonts w:ascii="Verdana" w:hAnsi="Verdana"/>
          <w:sz w:val="16"/>
          <w:szCs w:val="16"/>
          <w:lang w:val="en-US"/>
        </w:rPr>
        <w:tab/>
        <w:t xml:space="preserve">decorative vertical radiator with a centre connection and a stylised front </w:t>
      </w:r>
    </w:p>
    <w:p w14:paraId="492898B6"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Finishing:</w:t>
      </w:r>
      <w:r w:rsidRPr="00890895">
        <w:rPr>
          <w:rFonts w:ascii="Verdana" w:hAnsi="Verdana"/>
          <w:sz w:val="16"/>
          <w:szCs w:val="16"/>
          <w:lang w:val="en-US"/>
        </w:rPr>
        <w:tab/>
        <w:t>decorative stylised front and side panels</w:t>
      </w:r>
    </w:p>
    <w:p w14:paraId="35775722" w14:textId="0DF2BF0B" w:rsidR="00890895" w:rsidRPr="00890895" w:rsidRDefault="00890895" w:rsidP="00890895">
      <w:pPr>
        <w:tabs>
          <w:tab w:val="left" w:pos="2410"/>
        </w:tabs>
        <w:suppressAutoHyphens/>
        <w:ind w:left="2410" w:hanging="2410"/>
        <w:rPr>
          <w:rFonts w:ascii="Verdana" w:hAnsi="Verdana"/>
          <w:sz w:val="16"/>
          <w:szCs w:val="16"/>
          <w:lang w:val="en-US"/>
        </w:rPr>
      </w:pPr>
      <w:r w:rsidRPr="00890895">
        <w:rPr>
          <w:rFonts w:ascii="Verdana" w:hAnsi="Verdana"/>
          <w:sz w:val="16"/>
          <w:szCs w:val="16"/>
          <w:lang w:val="en-US"/>
        </w:rPr>
        <w:t>Also supplied:</w:t>
      </w:r>
      <w:r w:rsidRPr="00890895">
        <w:rPr>
          <w:rFonts w:ascii="Verdana" w:hAnsi="Verdana"/>
          <w:sz w:val="16"/>
          <w:szCs w:val="16"/>
          <w:lang w:val="en-US"/>
        </w:rPr>
        <w:tab/>
        <w:t>wall brackets, ETA safety screws and plugs, screws</w:t>
      </w:r>
      <w:r w:rsidR="00031771">
        <w:rPr>
          <w:rFonts w:ascii="Verdana" w:hAnsi="Verdana"/>
          <w:sz w:val="16"/>
          <w:szCs w:val="16"/>
          <w:lang w:val="en-US"/>
        </w:rPr>
        <w:t>,</w:t>
      </w:r>
      <w:r w:rsidRPr="00890895">
        <w:rPr>
          <w:rFonts w:ascii="Verdana" w:hAnsi="Verdana"/>
          <w:sz w:val="16"/>
          <w:szCs w:val="16"/>
          <w:lang w:val="en-US"/>
        </w:rPr>
        <w:t xml:space="preserve"> plugs, air vent, blind plugs and </w:t>
      </w:r>
      <w:r w:rsidR="004E184C">
        <w:rPr>
          <w:rFonts w:ascii="Verdana" w:hAnsi="Verdana"/>
          <w:sz w:val="16"/>
          <w:szCs w:val="16"/>
          <w:lang w:val="en-US"/>
        </w:rPr>
        <w:t>installation</w:t>
      </w:r>
      <w:r w:rsidR="004E184C" w:rsidRPr="005E7536">
        <w:rPr>
          <w:rFonts w:ascii="Verdana" w:hAnsi="Verdana"/>
          <w:sz w:val="16"/>
          <w:szCs w:val="16"/>
          <w:lang w:val="en-US"/>
        </w:rPr>
        <w:t xml:space="preserve"> </w:t>
      </w:r>
      <w:r w:rsidRPr="00890895">
        <w:rPr>
          <w:rFonts w:ascii="Verdana" w:hAnsi="Verdana"/>
          <w:sz w:val="16"/>
          <w:szCs w:val="16"/>
          <w:lang w:val="en-US"/>
        </w:rPr>
        <w:t>instructions</w:t>
      </w:r>
    </w:p>
    <w:p w14:paraId="3E568519"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Connections:</w:t>
      </w:r>
      <w:r w:rsidRPr="00890895">
        <w:rPr>
          <w:rFonts w:ascii="Verdana" w:hAnsi="Verdana"/>
          <w:sz w:val="16"/>
          <w:szCs w:val="16"/>
          <w:lang w:val="en-US"/>
        </w:rPr>
        <w:tab/>
        <w:t>4 x ½” female connection (centre connection included)</w:t>
      </w:r>
    </w:p>
    <w:p w14:paraId="183CF071"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Lugs:</w:t>
      </w:r>
      <w:r w:rsidRPr="00890895">
        <w:rPr>
          <w:rFonts w:ascii="Verdana" w:hAnsi="Verdana"/>
          <w:sz w:val="16"/>
          <w:szCs w:val="16"/>
          <w:lang w:val="en-US"/>
        </w:rPr>
        <w:tab/>
        <w:t>no lugs</w:t>
      </w:r>
    </w:p>
    <w:p w14:paraId="74E0E927" w14:textId="77777777" w:rsidR="00890895" w:rsidRPr="00890895" w:rsidRDefault="00890895" w:rsidP="00890895">
      <w:pPr>
        <w:tabs>
          <w:tab w:val="left" w:pos="2410"/>
        </w:tabs>
        <w:suppressAutoHyphens/>
        <w:ind w:left="2410" w:hanging="2410"/>
        <w:rPr>
          <w:rFonts w:ascii="Verdana" w:hAnsi="Verdana"/>
          <w:sz w:val="16"/>
          <w:szCs w:val="16"/>
          <w:lang w:val="en-US"/>
        </w:rPr>
      </w:pPr>
      <w:r w:rsidRPr="00890895">
        <w:rPr>
          <w:rFonts w:ascii="Verdana" w:hAnsi="Verdana"/>
          <w:sz w:val="16"/>
          <w:szCs w:val="16"/>
          <w:lang w:val="en-US"/>
        </w:rPr>
        <w:t>Packaging:</w:t>
      </w:r>
      <w:r w:rsidRPr="00890895">
        <w:rPr>
          <w:rFonts w:ascii="Verdana" w:hAnsi="Verdana"/>
          <w:sz w:val="16"/>
          <w:szCs w:val="16"/>
          <w:lang w:val="en-US"/>
        </w:rPr>
        <w:tab/>
        <w:t>Every radiator is sturdily packaged in high-quality cardboard and wrapped in plastic. The radiator’s characteristics are shown on the label: type – height – length.</w:t>
      </w:r>
    </w:p>
    <w:p w14:paraId="735D6FA8" w14:textId="77777777" w:rsidR="00890895" w:rsidRPr="00890895" w:rsidRDefault="00890895" w:rsidP="00890895">
      <w:pPr>
        <w:tabs>
          <w:tab w:val="left" w:pos="2410"/>
        </w:tabs>
        <w:suppressAutoHyphens/>
        <w:ind w:left="2410" w:hanging="2410"/>
        <w:rPr>
          <w:rFonts w:ascii="Verdana" w:hAnsi="Verdana"/>
          <w:sz w:val="16"/>
          <w:szCs w:val="16"/>
          <w:lang w:val="en-US"/>
        </w:rPr>
      </w:pPr>
      <w:r w:rsidRPr="00890895">
        <w:rPr>
          <w:rFonts w:ascii="Verdana" w:hAnsi="Verdana"/>
          <w:sz w:val="16"/>
          <w:szCs w:val="16"/>
          <w:lang w:val="en-US"/>
        </w:rPr>
        <w:t>Warranty:</w:t>
      </w:r>
      <w:r w:rsidRPr="00890895">
        <w:rPr>
          <w:rFonts w:ascii="Verdana" w:hAnsi="Verdana"/>
          <w:sz w:val="16"/>
          <w:szCs w:val="16"/>
          <w:lang w:val="en-US"/>
        </w:rPr>
        <w:tab/>
        <w:t>10 years, as long as the installation instructions have been followed and Stelrad’s warranty conditions have been met.</w:t>
      </w:r>
    </w:p>
    <w:p w14:paraId="62916ED9" w14:textId="77777777" w:rsidR="00890895" w:rsidRPr="00890895" w:rsidRDefault="00890895" w:rsidP="00890895">
      <w:pPr>
        <w:tabs>
          <w:tab w:val="left" w:pos="2410"/>
        </w:tabs>
        <w:suppressAutoHyphens/>
        <w:ind w:left="2410" w:hanging="2410"/>
        <w:rPr>
          <w:rFonts w:ascii="Verdana" w:hAnsi="Verdana"/>
          <w:sz w:val="16"/>
          <w:szCs w:val="16"/>
          <w:lang w:val="en-US"/>
        </w:rPr>
      </w:pPr>
      <w:r w:rsidRPr="00890895">
        <w:rPr>
          <w:rFonts w:ascii="Verdana" w:hAnsi="Verdana"/>
          <w:sz w:val="16"/>
          <w:szCs w:val="16"/>
          <w:lang w:val="en-US"/>
        </w:rPr>
        <w:t>Paint process:</w:t>
      </w:r>
      <w:r w:rsidRPr="00890895">
        <w:rPr>
          <w:rFonts w:ascii="Verdana" w:hAnsi="Verdana"/>
          <w:sz w:val="16"/>
          <w:szCs w:val="16"/>
          <w:lang w:val="en-US"/>
        </w:rPr>
        <w:tab/>
        <w:t>All radiators are degreased, phosphated, cataphoretically primed and powder-coated in Stelrad white 9016 as standard.</w:t>
      </w:r>
    </w:p>
    <w:p w14:paraId="00566D8D"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Colours:</w:t>
      </w:r>
      <w:r w:rsidRPr="00890895">
        <w:rPr>
          <w:rFonts w:ascii="Verdana" w:hAnsi="Verdana"/>
          <w:sz w:val="16"/>
          <w:szCs w:val="16"/>
          <w:lang w:val="en-US"/>
        </w:rPr>
        <w:tab/>
        <w:t>Stelrad white 9016 + 35 different Stelrad colours and about 200 RAL-colours are possible</w:t>
      </w:r>
    </w:p>
    <w:p w14:paraId="0EB57139" w14:textId="08E90A13"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Max. operating pressure:</w:t>
      </w:r>
      <w:r w:rsidRPr="00890895">
        <w:rPr>
          <w:rFonts w:ascii="Verdana" w:hAnsi="Verdana"/>
          <w:sz w:val="16"/>
          <w:szCs w:val="16"/>
          <w:lang w:val="en-US"/>
        </w:rPr>
        <w:tab/>
        <w:t xml:space="preserve">10 bar (tested </w:t>
      </w:r>
      <w:r w:rsidR="00ED4DEA">
        <w:rPr>
          <w:rFonts w:ascii="Verdana" w:hAnsi="Verdana"/>
          <w:sz w:val="16"/>
          <w:szCs w:val="16"/>
          <w:lang w:val="en-US"/>
        </w:rPr>
        <w:t>to</w:t>
      </w:r>
      <w:r w:rsidRPr="00890895">
        <w:rPr>
          <w:rFonts w:ascii="Verdana" w:hAnsi="Verdana"/>
          <w:sz w:val="16"/>
          <w:szCs w:val="16"/>
          <w:lang w:val="en-US"/>
        </w:rPr>
        <w:t xml:space="preserve"> 13 bar)</w:t>
      </w:r>
    </w:p>
    <w:p w14:paraId="61C5579F"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Max. operating temperature:</w:t>
      </w:r>
      <w:r w:rsidRPr="00890895">
        <w:rPr>
          <w:rFonts w:ascii="Verdana" w:hAnsi="Verdana"/>
          <w:sz w:val="16"/>
          <w:szCs w:val="16"/>
          <w:lang w:val="en-US"/>
        </w:rPr>
        <w:tab/>
        <w:t>110 °C</w:t>
      </w:r>
    </w:p>
    <w:p w14:paraId="6ABF54A5"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Conformity:</w:t>
      </w:r>
      <w:r w:rsidRPr="00890895">
        <w:rPr>
          <w:rFonts w:ascii="Verdana" w:hAnsi="Verdana"/>
          <w:sz w:val="16"/>
          <w:szCs w:val="16"/>
          <w:lang w:val="en-US"/>
        </w:rPr>
        <w:tab/>
        <w:t>in accordance with EN442</w:t>
      </w:r>
    </w:p>
    <w:p w14:paraId="491F20D9"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Quality assurance:</w:t>
      </w:r>
      <w:r w:rsidRPr="00890895">
        <w:rPr>
          <w:rFonts w:ascii="Verdana" w:hAnsi="Verdana"/>
          <w:sz w:val="16"/>
          <w:szCs w:val="16"/>
          <w:lang w:val="en-US"/>
        </w:rPr>
        <w:tab/>
        <w:t>NF</w:t>
      </w:r>
    </w:p>
    <w:p w14:paraId="4A3BF5AE"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Types:</w:t>
      </w:r>
      <w:r w:rsidRPr="00890895">
        <w:rPr>
          <w:rFonts w:ascii="Verdana" w:hAnsi="Verdana"/>
          <w:sz w:val="16"/>
          <w:szCs w:val="16"/>
          <w:lang w:val="en-US"/>
        </w:rPr>
        <w:tab/>
        <w:t>11 | 20 | 21 | 22</w:t>
      </w:r>
    </w:p>
    <w:p w14:paraId="794CEDAC"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Heights:</w:t>
      </w:r>
      <w:r w:rsidRPr="00890895">
        <w:rPr>
          <w:rFonts w:ascii="Verdana" w:hAnsi="Verdana"/>
          <w:sz w:val="16"/>
          <w:szCs w:val="16"/>
          <w:lang w:val="en-US"/>
        </w:rPr>
        <w:tab/>
        <w:t>1.600 | 1.800 | 2.000 | 2.200 mm</w:t>
      </w:r>
    </w:p>
    <w:p w14:paraId="1746DB0B" w14:textId="77777777" w:rsidR="00890895"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Lengths:</w:t>
      </w:r>
      <w:r w:rsidRPr="00890895">
        <w:rPr>
          <w:rFonts w:ascii="Verdana" w:hAnsi="Verdana"/>
          <w:sz w:val="16"/>
          <w:szCs w:val="16"/>
          <w:lang w:val="en-US"/>
        </w:rPr>
        <w:tab/>
        <w:t>300 | 400 | 500 | 600 | 700 mm</w:t>
      </w:r>
    </w:p>
    <w:p w14:paraId="144DFCB5" w14:textId="77777777" w:rsidR="001D5220" w:rsidRPr="00890895" w:rsidRDefault="00890895" w:rsidP="00890895">
      <w:pPr>
        <w:tabs>
          <w:tab w:val="left" w:pos="2410"/>
        </w:tabs>
        <w:suppressAutoHyphens/>
        <w:rPr>
          <w:rFonts w:ascii="Verdana" w:hAnsi="Verdana"/>
          <w:sz w:val="16"/>
          <w:szCs w:val="16"/>
          <w:lang w:val="en-US"/>
        </w:rPr>
      </w:pPr>
      <w:r w:rsidRPr="00890895">
        <w:rPr>
          <w:rFonts w:ascii="Verdana" w:hAnsi="Verdana"/>
          <w:sz w:val="16"/>
          <w:szCs w:val="16"/>
          <w:lang w:val="en-US"/>
        </w:rPr>
        <w:t>Depths:</w:t>
      </w:r>
      <w:r w:rsidRPr="00890895">
        <w:rPr>
          <w:rFonts w:ascii="Verdana" w:hAnsi="Verdana"/>
          <w:sz w:val="16"/>
          <w:szCs w:val="16"/>
          <w:lang w:val="en-US"/>
        </w:rPr>
        <w:tab/>
        <w:t>49 | 79 | 79 | 102 mm</w:t>
      </w:r>
    </w:p>
    <w:sectPr w:rsidR="001D5220" w:rsidRPr="00890895"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99C3" w14:textId="77777777" w:rsidR="00D46F94" w:rsidRDefault="00D46F94" w:rsidP="00AD4C15">
      <w:pPr>
        <w:spacing w:after="0" w:line="240" w:lineRule="auto"/>
      </w:pPr>
      <w:r>
        <w:separator/>
      </w:r>
    </w:p>
  </w:endnote>
  <w:endnote w:type="continuationSeparator" w:id="0">
    <w:p w14:paraId="5719F7A5" w14:textId="77777777" w:rsidR="00D46F94" w:rsidRDefault="00D46F94"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58B7" w14:textId="77777777" w:rsidR="00D46F94" w:rsidRDefault="00D46F94" w:rsidP="00AD4C15">
      <w:pPr>
        <w:spacing w:after="0" w:line="240" w:lineRule="auto"/>
      </w:pPr>
      <w:r>
        <w:separator/>
      </w:r>
    </w:p>
  </w:footnote>
  <w:footnote w:type="continuationSeparator" w:id="0">
    <w:p w14:paraId="5B88E4B6" w14:textId="77777777" w:rsidR="00D46F94" w:rsidRDefault="00D46F94"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07D5E"/>
    <w:rsid w:val="00013FC1"/>
    <w:rsid w:val="00031771"/>
    <w:rsid w:val="00036921"/>
    <w:rsid w:val="00037619"/>
    <w:rsid w:val="00041B7A"/>
    <w:rsid w:val="00064364"/>
    <w:rsid w:val="00077E6D"/>
    <w:rsid w:val="000A6419"/>
    <w:rsid w:val="000B3001"/>
    <w:rsid w:val="000B6098"/>
    <w:rsid w:val="000C7274"/>
    <w:rsid w:val="000C7738"/>
    <w:rsid w:val="000D018D"/>
    <w:rsid w:val="000E10FE"/>
    <w:rsid w:val="00101E71"/>
    <w:rsid w:val="00106605"/>
    <w:rsid w:val="0012059F"/>
    <w:rsid w:val="00124A8C"/>
    <w:rsid w:val="00134A98"/>
    <w:rsid w:val="0014139F"/>
    <w:rsid w:val="001419BA"/>
    <w:rsid w:val="00146C1B"/>
    <w:rsid w:val="0015257C"/>
    <w:rsid w:val="001550A6"/>
    <w:rsid w:val="00156040"/>
    <w:rsid w:val="00163D77"/>
    <w:rsid w:val="001D2832"/>
    <w:rsid w:val="001D5220"/>
    <w:rsid w:val="001F4A3F"/>
    <w:rsid w:val="00206DBF"/>
    <w:rsid w:val="0021794F"/>
    <w:rsid w:val="002211D8"/>
    <w:rsid w:val="00224089"/>
    <w:rsid w:val="00224C20"/>
    <w:rsid w:val="00230E70"/>
    <w:rsid w:val="0025180B"/>
    <w:rsid w:val="0027423A"/>
    <w:rsid w:val="002758CA"/>
    <w:rsid w:val="00277A1F"/>
    <w:rsid w:val="00282156"/>
    <w:rsid w:val="002B40BD"/>
    <w:rsid w:val="002E3F18"/>
    <w:rsid w:val="0032244A"/>
    <w:rsid w:val="00325BAF"/>
    <w:rsid w:val="003472D1"/>
    <w:rsid w:val="0035097C"/>
    <w:rsid w:val="00355749"/>
    <w:rsid w:val="00360FFA"/>
    <w:rsid w:val="003915FB"/>
    <w:rsid w:val="003C15E3"/>
    <w:rsid w:val="003C2724"/>
    <w:rsid w:val="003E5236"/>
    <w:rsid w:val="003F2AF8"/>
    <w:rsid w:val="00402A8F"/>
    <w:rsid w:val="00422C03"/>
    <w:rsid w:val="00430D82"/>
    <w:rsid w:val="00432047"/>
    <w:rsid w:val="004538D2"/>
    <w:rsid w:val="00456F46"/>
    <w:rsid w:val="0046476B"/>
    <w:rsid w:val="00465824"/>
    <w:rsid w:val="00473FF4"/>
    <w:rsid w:val="00480990"/>
    <w:rsid w:val="004B3722"/>
    <w:rsid w:val="004B7BE8"/>
    <w:rsid w:val="004E184C"/>
    <w:rsid w:val="004E18F9"/>
    <w:rsid w:val="00500A84"/>
    <w:rsid w:val="00516CF3"/>
    <w:rsid w:val="00517EDD"/>
    <w:rsid w:val="005221E5"/>
    <w:rsid w:val="00554692"/>
    <w:rsid w:val="00566A99"/>
    <w:rsid w:val="00576BD0"/>
    <w:rsid w:val="005860AA"/>
    <w:rsid w:val="005A796E"/>
    <w:rsid w:val="005C25D2"/>
    <w:rsid w:val="005E2C5D"/>
    <w:rsid w:val="005E7536"/>
    <w:rsid w:val="00611F8B"/>
    <w:rsid w:val="006246A8"/>
    <w:rsid w:val="00625FC3"/>
    <w:rsid w:val="0063081C"/>
    <w:rsid w:val="006329F3"/>
    <w:rsid w:val="00632DD5"/>
    <w:rsid w:val="00642F1D"/>
    <w:rsid w:val="00653761"/>
    <w:rsid w:val="00657B4E"/>
    <w:rsid w:val="00663010"/>
    <w:rsid w:val="00674502"/>
    <w:rsid w:val="00680DE3"/>
    <w:rsid w:val="00686882"/>
    <w:rsid w:val="00696175"/>
    <w:rsid w:val="006A1004"/>
    <w:rsid w:val="006B0057"/>
    <w:rsid w:val="006B1293"/>
    <w:rsid w:val="006B4A30"/>
    <w:rsid w:val="006B65EC"/>
    <w:rsid w:val="006D3835"/>
    <w:rsid w:val="006D4E2A"/>
    <w:rsid w:val="00723F5E"/>
    <w:rsid w:val="00744284"/>
    <w:rsid w:val="0074554A"/>
    <w:rsid w:val="00770BBE"/>
    <w:rsid w:val="007904D9"/>
    <w:rsid w:val="00792B70"/>
    <w:rsid w:val="007A002C"/>
    <w:rsid w:val="007A5FBF"/>
    <w:rsid w:val="007B0A65"/>
    <w:rsid w:val="007B2136"/>
    <w:rsid w:val="007F5A76"/>
    <w:rsid w:val="007F5F45"/>
    <w:rsid w:val="00823956"/>
    <w:rsid w:val="0082767A"/>
    <w:rsid w:val="00852C27"/>
    <w:rsid w:val="00881F4A"/>
    <w:rsid w:val="008829B5"/>
    <w:rsid w:val="00882C83"/>
    <w:rsid w:val="00890895"/>
    <w:rsid w:val="00896594"/>
    <w:rsid w:val="008B6EF1"/>
    <w:rsid w:val="009341B0"/>
    <w:rsid w:val="00964C8B"/>
    <w:rsid w:val="00977DF0"/>
    <w:rsid w:val="00984C1B"/>
    <w:rsid w:val="009867C1"/>
    <w:rsid w:val="009917FD"/>
    <w:rsid w:val="00992526"/>
    <w:rsid w:val="00995CB9"/>
    <w:rsid w:val="009A36D8"/>
    <w:rsid w:val="009A3AF6"/>
    <w:rsid w:val="009A4528"/>
    <w:rsid w:val="009C3F03"/>
    <w:rsid w:val="00A077AA"/>
    <w:rsid w:val="00A30275"/>
    <w:rsid w:val="00A62D6B"/>
    <w:rsid w:val="00A66031"/>
    <w:rsid w:val="00A67F27"/>
    <w:rsid w:val="00A825C6"/>
    <w:rsid w:val="00AB3D29"/>
    <w:rsid w:val="00AC1E60"/>
    <w:rsid w:val="00AC741A"/>
    <w:rsid w:val="00AC7EB8"/>
    <w:rsid w:val="00AD1BEA"/>
    <w:rsid w:val="00AD4C15"/>
    <w:rsid w:val="00AF16AD"/>
    <w:rsid w:val="00B10BC5"/>
    <w:rsid w:val="00B215A7"/>
    <w:rsid w:val="00B57D8B"/>
    <w:rsid w:val="00B9027A"/>
    <w:rsid w:val="00BA0105"/>
    <w:rsid w:val="00BE451E"/>
    <w:rsid w:val="00BF065A"/>
    <w:rsid w:val="00C243C1"/>
    <w:rsid w:val="00C3611C"/>
    <w:rsid w:val="00C43039"/>
    <w:rsid w:val="00C66390"/>
    <w:rsid w:val="00C73932"/>
    <w:rsid w:val="00C91886"/>
    <w:rsid w:val="00CB0617"/>
    <w:rsid w:val="00CB32F9"/>
    <w:rsid w:val="00CB504F"/>
    <w:rsid w:val="00D05C71"/>
    <w:rsid w:val="00D17245"/>
    <w:rsid w:val="00D42BC5"/>
    <w:rsid w:val="00D43FA3"/>
    <w:rsid w:val="00D46F94"/>
    <w:rsid w:val="00D52CA4"/>
    <w:rsid w:val="00D91118"/>
    <w:rsid w:val="00D97824"/>
    <w:rsid w:val="00DA2A41"/>
    <w:rsid w:val="00DE7451"/>
    <w:rsid w:val="00DF5FEF"/>
    <w:rsid w:val="00DF73DB"/>
    <w:rsid w:val="00E028A0"/>
    <w:rsid w:val="00E11295"/>
    <w:rsid w:val="00E27420"/>
    <w:rsid w:val="00E565B0"/>
    <w:rsid w:val="00E643A2"/>
    <w:rsid w:val="00E76EFA"/>
    <w:rsid w:val="00E81551"/>
    <w:rsid w:val="00EB3A04"/>
    <w:rsid w:val="00EB5050"/>
    <w:rsid w:val="00EC7BA9"/>
    <w:rsid w:val="00ED4DEA"/>
    <w:rsid w:val="00EE5707"/>
    <w:rsid w:val="00EF7145"/>
    <w:rsid w:val="00F06308"/>
    <w:rsid w:val="00F16A43"/>
    <w:rsid w:val="00F34597"/>
    <w:rsid w:val="00F6221A"/>
    <w:rsid w:val="00F6534E"/>
    <w:rsid w:val="00F6663B"/>
    <w:rsid w:val="00F71366"/>
    <w:rsid w:val="00F7720B"/>
    <w:rsid w:val="00F90D7C"/>
    <w:rsid w:val="00FB2FCA"/>
    <w:rsid w:val="00FD15B3"/>
    <w:rsid w:val="00FE48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4313"/>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1A02-6884-4B7F-9335-2877F1F1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6</cp:revision>
  <dcterms:created xsi:type="dcterms:W3CDTF">2018-07-10T11:22:00Z</dcterms:created>
  <dcterms:modified xsi:type="dcterms:W3CDTF">2022-07-14T13:50:00Z</dcterms:modified>
</cp:coreProperties>
</file>