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4847" w14:textId="77777777" w:rsidR="00A824BC" w:rsidRDefault="00A824BC" w:rsidP="00A824BC">
      <w:pPr>
        <w:tabs>
          <w:tab w:val="left" w:pos="2410"/>
        </w:tabs>
        <w:suppressAutoHyphens/>
        <w:rPr>
          <w:rFonts w:ascii="Verdana" w:hAnsi="Verdana"/>
          <w:color w:val="92766F"/>
          <w:sz w:val="48"/>
          <w:szCs w:val="48"/>
          <w:lang w:val="fr-FR"/>
        </w:rPr>
      </w:pPr>
      <w:r w:rsidRPr="00A824BC">
        <w:rPr>
          <w:rFonts w:ascii="Verdana" w:hAnsi="Verdana"/>
          <w:color w:val="92766F"/>
          <w:sz w:val="48"/>
          <w:szCs w:val="48"/>
          <w:lang w:val="fr-FR"/>
        </w:rPr>
        <w:t>NOVELLO ECO</w:t>
      </w:r>
    </w:p>
    <w:p w14:paraId="3E34C0FB" w14:textId="77777777" w:rsidR="00A824BC" w:rsidRDefault="00A824BC" w:rsidP="00A824BC">
      <w:pPr>
        <w:tabs>
          <w:tab w:val="left" w:pos="2410"/>
        </w:tabs>
        <w:suppressAutoHyphens/>
        <w:rPr>
          <w:rFonts w:ascii="Verdana" w:hAnsi="Verdana"/>
          <w:sz w:val="20"/>
          <w:szCs w:val="20"/>
          <w:lang w:val="fr-FR"/>
        </w:rPr>
      </w:pPr>
      <w:r w:rsidRPr="00A824BC">
        <w:rPr>
          <w:rFonts w:ascii="Verdana" w:hAnsi="Verdana"/>
          <w:sz w:val="20"/>
          <w:szCs w:val="20"/>
          <w:lang w:val="fr-FR"/>
        </w:rPr>
        <w:t>Radiateur panneau basse température en acier de haute qualité laminé à froid, avec une alimentation en série</w:t>
      </w:r>
      <w:r>
        <w:rPr>
          <w:rFonts w:ascii="Verdana" w:hAnsi="Verdana"/>
          <w:sz w:val="20"/>
          <w:szCs w:val="20"/>
          <w:lang w:val="fr-FR"/>
        </w:rPr>
        <w:t xml:space="preserve"> </w:t>
      </w:r>
      <w:r w:rsidRPr="00A824BC">
        <w:rPr>
          <w:rFonts w:ascii="Verdana" w:hAnsi="Verdana"/>
          <w:sz w:val="20"/>
          <w:szCs w:val="20"/>
          <w:lang w:val="fr-FR"/>
        </w:rPr>
        <w:t>(le panneau avant est alimenté en premier). Cela garantit un haut rendement énergétique, un rayonnement maximal</w:t>
      </w:r>
      <w:r>
        <w:rPr>
          <w:rFonts w:ascii="Verdana" w:hAnsi="Verdana"/>
          <w:sz w:val="20"/>
          <w:szCs w:val="20"/>
          <w:lang w:val="fr-FR"/>
        </w:rPr>
        <w:t xml:space="preserve"> </w:t>
      </w:r>
      <w:r w:rsidRPr="00A824BC">
        <w:rPr>
          <w:rFonts w:ascii="Verdana" w:hAnsi="Verdana"/>
          <w:sz w:val="20"/>
          <w:szCs w:val="20"/>
          <w:lang w:val="fr-FR"/>
        </w:rPr>
        <w:t>(même à des régimes basse température), une chauffe rapide et des déperditions de chaleur réduites du côté du mur.</w:t>
      </w:r>
    </w:p>
    <w:p w14:paraId="08DC3A53" w14:textId="77777777" w:rsidR="00A824BC" w:rsidRPr="00A824BC" w:rsidRDefault="00A824BC" w:rsidP="00A824BC">
      <w:pPr>
        <w:tabs>
          <w:tab w:val="left" w:pos="2410"/>
        </w:tabs>
        <w:suppressAutoHyphens/>
        <w:rPr>
          <w:rFonts w:ascii="Verdana" w:hAnsi="Verdana"/>
          <w:sz w:val="20"/>
          <w:szCs w:val="20"/>
          <w:lang w:val="fr-FR"/>
        </w:rPr>
      </w:pPr>
    </w:p>
    <w:p w14:paraId="03B62D2A" w14:textId="77777777" w:rsidR="00A824BC" w:rsidRPr="00A824BC" w:rsidRDefault="00A824BC" w:rsidP="00A824BC">
      <w:pPr>
        <w:tabs>
          <w:tab w:val="left" w:pos="2410"/>
        </w:tabs>
        <w:suppressAutoHyphens/>
        <w:ind w:left="2410" w:hanging="2410"/>
        <w:rPr>
          <w:rFonts w:ascii="Verdana" w:hAnsi="Verdana"/>
          <w:sz w:val="16"/>
          <w:szCs w:val="16"/>
          <w:lang w:val="fr-FR"/>
        </w:rPr>
      </w:pPr>
      <w:r w:rsidRPr="00A824BC">
        <w:rPr>
          <w:rFonts w:ascii="Verdana" w:hAnsi="Verdana"/>
          <w:sz w:val="16"/>
          <w:szCs w:val="16"/>
          <w:lang w:val="fr-FR"/>
        </w:rPr>
        <w:t>Produit:</w:t>
      </w:r>
      <w:r w:rsidRPr="00A824BC">
        <w:rPr>
          <w:rFonts w:ascii="Verdana" w:hAnsi="Verdana"/>
          <w:sz w:val="16"/>
          <w:szCs w:val="16"/>
          <w:lang w:val="fr-FR"/>
        </w:rPr>
        <w:tab/>
        <w:t>radiateur basse température avec alimentation en série, raccordement central et latéral inférieur et vanne préréglée montable à gauche ou à droite</w:t>
      </w:r>
    </w:p>
    <w:p w14:paraId="7EEF61C5"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Finition:</w:t>
      </w:r>
      <w:r w:rsidRPr="00A824BC">
        <w:rPr>
          <w:rFonts w:ascii="Verdana" w:hAnsi="Verdana"/>
          <w:sz w:val="16"/>
          <w:szCs w:val="16"/>
          <w:lang w:val="fr-FR"/>
        </w:rPr>
        <w:tab/>
        <w:t>grille supérieure et joues</w:t>
      </w:r>
    </w:p>
    <w:p w14:paraId="4086C7A4"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Prémonté:</w:t>
      </w:r>
      <w:r w:rsidRPr="00A824BC">
        <w:rPr>
          <w:rFonts w:ascii="Verdana" w:hAnsi="Verdana"/>
          <w:sz w:val="16"/>
          <w:szCs w:val="16"/>
          <w:lang w:val="fr-FR"/>
        </w:rPr>
        <w:tab/>
        <w:t>vanne Heimeier préréglée 4368 ou 4369, purgeur ECO et bouchons pleins</w:t>
      </w:r>
    </w:p>
    <w:p w14:paraId="0DA5A8D6" w14:textId="77777777" w:rsidR="00A824BC" w:rsidRPr="00A824BC" w:rsidRDefault="00A824BC" w:rsidP="00A824BC">
      <w:pPr>
        <w:tabs>
          <w:tab w:val="left" w:pos="2410"/>
        </w:tabs>
        <w:suppressAutoHyphens/>
        <w:ind w:left="2410" w:hanging="2410"/>
        <w:rPr>
          <w:rFonts w:ascii="Verdana" w:hAnsi="Verdana"/>
          <w:sz w:val="16"/>
          <w:szCs w:val="16"/>
          <w:lang w:val="fr-FR"/>
        </w:rPr>
      </w:pPr>
      <w:r w:rsidRPr="00A824BC">
        <w:rPr>
          <w:rFonts w:ascii="Verdana" w:hAnsi="Verdana"/>
          <w:sz w:val="16"/>
          <w:szCs w:val="16"/>
          <w:lang w:val="fr-FR"/>
        </w:rPr>
        <w:t>Vanne:</w:t>
      </w:r>
      <w:r w:rsidRPr="00A824BC">
        <w:rPr>
          <w:rFonts w:ascii="Verdana" w:hAnsi="Verdana"/>
          <w:sz w:val="16"/>
          <w:szCs w:val="16"/>
          <w:lang w:val="fr-FR"/>
        </w:rPr>
        <w:tab/>
        <w:t xml:space="preserve">La vanne réglable intégrée (sans tête thermostatique), certifiée CEN et testée selon EN215, est compatible aux têtes thermostatiques M30 x 1,5 </w:t>
      </w:r>
      <w:proofErr w:type="spellStart"/>
      <w:r w:rsidRPr="00A824BC">
        <w:rPr>
          <w:rFonts w:ascii="Verdana" w:hAnsi="Verdana"/>
          <w:sz w:val="16"/>
          <w:szCs w:val="16"/>
          <w:lang w:val="fr-FR"/>
        </w:rPr>
        <w:t>mm.</w:t>
      </w:r>
      <w:proofErr w:type="spellEnd"/>
      <w:r w:rsidRPr="00A824BC">
        <w:rPr>
          <w:rFonts w:ascii="Verdana" w:hAnsi="Verdana"/>
          <w:sz w:val="16"/>
          <w:szCs w:val="16"/>
          <w:lang w:val="fr-FR"/>
        </w:rPr>
        <w:t xml:space="preserve"> Elle est montée d’usine à droite mais peut, sur les types 21-22-33, être montée à gauche, sans devoir adapter les conduites d’alimentation et de retour, ni retourner le radiateur. </w:t>
      </w:r>
    </w:p>
    <w:p w14:paraId="274ACD72" w14:textId="77777777" w:rsidR="00A824BC" w:rsidRPr="00A824BC" w:rsidRDefault="00A824BC" w:rsidP="00A824BC">
      <w:pPr>
        <w:tabs>
          <w:tab w:val="left" w:pos="2410"/>
        </w:tabs>
        <w:suppressAutoHyphens/>
        <w:rPr>
          <w:rFonts w:ascii="Verdana" w:hAnsi="Verdana"/>
          <w:sz w:val="16"/>
          <w:szCs w:val="16"/>
          <w:lang w:val="fr-FR"/>
        </w:rPr>
      </w:pPr>
      <w:r>
        <w:rPr>
          <w:rFonts w:ascii="Verdana" w:hAnsi="Verdana"/>
          <w:sz w:val="16"/>
          <w:szCs w:val="16"/>
          <w:lang w:val="fr-FR"/>
        </w:rPr>
        <w:tab/>
      </w:r>
      <w:r w:rsidRPr="00A824BC">
        <w:rPr>
          <w:rFonts w:ascii="Verdana" w:hAnsi="Verdana"/>
          <w:sz w:val="16"/>
          <w:szCs w:val="16"/>
          <w:lang w:val="fr-FR"/>
        </w:rPr>
        <w:t xml:space="preserve">Pour le type 11, une version gauche est disponible sur demande. </w:t>
      </w:r>
    </w:p>
    <w:p w14:paraId="7BB84EA0" w14:textId="77777777" w:rsidR="00A824BC" w:rsidRPr="00A824BC" w:rsidRDefault="00A824BC" w:rsidP="00A824BC">
      <w:pPr>
        <w:tabs>
          <w:tab w:val="left" w:pos="2410"/>
        </w:tabs>
        <w:suppressAutoHyphens/>
        <w:ind w:left="2410"/>
        <w:rPr>
          <w:rFonts w:ascii="Verdana" w:hAnsi="Verdana"/>
          <w:sz w:val="16"/>
          <w:szCs w:val="16"/>
          <w:lang w:val="fr-FR"/>
        </w:rPr>
      </w:pPr>
      <w:r w:rsidRPr="00A824BC">
        <w:rPr>
          <w:rFonts w:ascii="Verdana" w:hAnsi="Verdana"/>
          <w:sz w:val="16"/>
          <w:szCs w:val="16"/>
          <w:lang w:val="fr-FR"/>
        </w:rPr>
        <w:t>La vanne est préréglée en usine en fonction des dimensions du radiateur, ce qui permet d’obtenir un rendement optimal. Ce préréglage garantit par ailleurs un débit optimal dans le radiateur. Réglage en usine adapté à des installations bitube, convenant aussi pour des installations monotube (moyennant l’adaptation du réglage de la vanne sur la position 8).</w:t>
      </w:r>
    </w:p>
    <w:p w14:paraId="68AD4383" w14:textId="62060C8A" w:rsidR="00A824BC" w:rsidRPr="00A824BC" w:rsidRDefault="00A824BC" w:rsidP="002B391C">
      <w:pPr>
        <w:tabs>
          <w:tab w:val="left" w:pos="2410"/>
        </w:tabs>
        <w:suppressAutoHyphens/>
        <w:ind w:left="2410" w:hanging="2410"/>
        <w:rPr>
          <w:rFonts w:ascii="Verdana" w:hAnsi="Verdana"/>
          <w:sz w:val="16"/>
          <w:szCs w:val="16"/>
          <w:lang w:val="fr-FR"/>
        </w:rPr>
      </w:pPr>
      <w:r w:rsidRPr="00A824BC">
        <w:rPr>
          <w:rFonts w:ascii="Verdana" w:hAnsi="Verdana"/>
          <w:sz w:val="16"/>
          <w:szCs w:val="16"/>
          <w:lang w:val="fr-FR"/>
        </w:rPr>
        <w:t>Fourni avec:</w:t>
      </w:r>
      <w:r w:rsidRPr="00A824BC">
        <w:rPr>
          <w:rFonts w:ascii="Verdana" w:hAnsi="Verdana"/>
          <w:sz w:val="16"/>
          <w:szCs w:val="16"/>
          <w:lang w:val="fr-FR"/>
        </w:rPr>
        <w:tab/>
      </w:r>
      <w:r w:rsidR="002B391C" w:rsidRPr="002B391C">
        <w:rPr>
          <w:rFonts w:ascii="Verdana" w:hAnsi="Verdana"/>
          <w:sz w:val="16"/>
          <w:szCs w:val="16"/>
          <w:lang w:val="fr-FR"/>
        </w:rPr>
        <w:t xml:space="preserve">consoles VDI avec anti-soulèvement (type Monclac), </w:t>
      </w:r>
      <w:r w:rsidRPr="00A824BC">
        <w:rPr>
          <w:rFonts w:ascii="Verdana" w:hAnsi="Verdana"/>
          <w:sz w:val="16"/>
          <w:szCs w:val="16"/>
          <w:lang w:val="fr-FR"/>
        </w:rPr>
        <w:t>vis, chevilles et instructions de montage</w:t>
      </w:r>
    </w:p>
    <w:p w14:paraId="5A03EE4D" w14:textId="77777777" w:rsidR="00A824BC" w:rsidRPr="00A824BC" w:rsidRDefault="00A824BC" w:rsidP="00A824BC">
      <w:pPr>
        <w:tabs>
          <w:tab w:val="left" w:pos="2410"/>
        </w:tabs>
        <w:suppressAutoHyphens/>
        <w:ind w:left="2410" w:hanging="2410"/>
        <w:rPr>
          <w:rFonts w:ascii="Verdana" w:hAnsi="Verdana"/>
          <w:sz w:val="16"/>
          <w:szCs w:val="16"/>
          <w:lang w:val="fr-FR"/>
        </w:rPr>
      </w:pPr>
      <w:r w:rsidRPr="00A824BC">
        <w:rPr>
          <w:rFonts w:ascii="Verdana" w:hAnsi="Verdana"/>
          <w:sz w:val="16"/>
          <w:szCs w:val="16"/>
          <w:lang w:val="fr-FR"/>
        </w:rPr>
        <w:t>Raccordements:</w:t>
      </w:r>
      <w:r w:rsidRPr="00A824BC">
        <w:rPr>
          <w:rFonts w:ascii="Verdana" w:hAnsi="Verdana"/>
          <w:sz w:val="16"/>
          <w:szCs w:val="16"/>
          <w:lang w:val="fr-FR"/>
        </w:rPr>
        <w:tab/>
        <w:t>2 raccords Eurocône ¾” à filetage extérieur au centre et 2 raccords ½” à filetage intérieur</w:t>
      </w:r>
      <w:r>
        <w:rPr>
          <w:rFonts w:ascii="Verdana" w:hAnsi="Verdana"/>
          <w:sz w:val="16"/>
          <w:szCs w:val="16"/>
          <w:lang w:val="fr-FR"/>
        </w:rPr>
        <w:t xml:space="preserve"> </w:t>
      </w:r>
      <w:r w:rsidRPr="00A824BC">
        <w:rPr>
          <w:rFonts w:ascii="Verdana" w:hAnsi="Verdana"/>
          <w:sz w:val="16"/>
          <w:szCs w:val="16"/>
          <w:lang w:val="fr-FR"/>
        </w:rPr>
        <w:t>Version gauche (type 21-22-33) uniquement à raccordement latéral inférieur 2 x ½” à filetage intérieur</w:t>
      </w:r>
    </w:p>
    <w:p w14:paraId="63D9E786"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Étriers:</w:t>
      </w:r>
      <w:r w:rsidRPr="00A824BC">
        <w:rPr>
          <w:rFonts w:ascii="Verdana" w:hAnsi="Verdana"/>
          <w:sz w:val="16"/>
          <w:szCs w:val="16"/>
          <w:lang w:val="fr-FR"/>
        </w:rPr>
        <w:tab/>
        <w:t>2 paires d’étriers jusqu’à 1.600 mm et 3 paires à partir de 1.800 mm</w:t>
      </w:r>
    </w:p>
    <w:p w14:paraId="3993DA92" w14:textId="77777777" w:rsidR="00A824BC" w:rsidRPr="00A824BC" w:rsidRDefault="00A824BC" w:rsidP="00A824BC">
      <w:pPr>
        <w:tabs>
          <w:tab w:val="left" w:pos="2410"/>
        </w:tabs>
        <w:suppressAutoHyphens/>
        <w:ind w:left="2410" w:hanging="2410"/>
        <w:rPr>
          <w:rFonts w:ascii="Verdana" w:hAnsi="Verdana"/>
          <w:sz w:val="16"/>
          <w:szCs w:val="16"/>
          <w:lang w:val="fr-FR"/>
        </w:rPr>
      </w:pPr>
      <w:r w:rsidRPr="00A824BC">
        <w:rPr>
          <w:rFonts w:ascii="Verdana" w:hAnsi="Verdana"/>
          <w:sz w:val="16"/>
          <w:szCs w:val="16"/>
          <w:lang w:val="fr-FR"/>
        </w:rPr>
        <w:t>Emballage:</w:t>
      </w:r>
      <w:r w:rsidRPr="00A824BC">
        <w:rPr>
          <w:rFonts w:ascii="Verdana" w:hAnsi="Verdana"/>
          <w:sz w:val="16"/>
          <w:szCs w:val="16"/>
          <w:lang w:val="fr-FR"/>
        </w:rPr>
        <w:tab/>
        <w:t>Chaque radiateur est solidement emballé dans du carton de qualité et plastifié.</w:t>
      </w:r>
      <w:r>
        <w:rPr>
          <w:rFonts w:ascii="Verdana" w:hAnsi="Verdana"/>
          <w:sz w:val="16"/>
          <w:szCs w:val="16"/>
          <w:lang w:val="fr-FR"/>
        </w:rPr>
        <w:t xml:space="preserve"> </w:t>
      </w:r>
      <w:r w:rsidRPr="00A824BC">
        <w:rPr>
          <w:rFonts w:ascii="Verdana" w:hAnsi="Verdana"/>
          <w:sz w:val="16"/>
          <w:szCs w:val="16"/>
          <w:lang w:val="fr-FR"/>
        </w:rPr>
        <w:t>Une étiquette décrit les caractéristiques du radiateur: type – hauteur – longueur.</w:t>
      </w:r>
    </w:p>
    <w:p w14:paraId="7834D32D" w14:textId="77777777" w:rsidR="00A824BC" w:rsidRPr="00A824BC" w:rsidRDefault="00A824BC" w:rsidP="00A824BC">
      <w:pPr>
        <w:tabs>
          <w:tab w:val="left" w:pos="2410"/>
        </w:tabs>
        <w:suppressAutoHyphens/>
        <w:ind w:left="2410" w:hanging="2410"/>
        <w:rPr>
          <w:rFonts w:ascii="Verdana" w:hAnsi="Verdana"/>
          <w:sz w:val="16"/>
          <w:szCs w:val="16"/>
          <w:lang w:val="fr-FR"/>
        </w:rPr>
      </w:pPr>
      <w:r w:rsidRPr="00A824BC">
        <w:rPr>
          <w:rFonts w:ascii="Verdana" w:hAnsi="Verdana"/>
          <w:sz w:val="16"/>
          <w:szCs w:val="16"/>
          <w:lang w:val="fr-FR"/>
        </w:rPr>
        <w:t>Garantie:</w:t>
      </w:r>
      <w:r w:rsidRPr="00A824BC">
        <w:rPr>
          <w:rFonts w:ascii="Verdana" w:hAnsi="Verdana"/>
          <w:sz w:val="16"/>
          <w:szCs w:val="16"/>
          <w:lang w:val="fr-FR"/>
        </w:rPr>
        <w:tab/>
        <w:t>10 ans sous réserve de respecter les prescriptions concernant les conditions d’installation ainsi que les conditions de garantie de Stelrad</w:t>
      </w:r>
    </w:p>
    <w:p w14:paraId="1D9651C5" w14:textId="77777777" w:rsidR="00A824BC" w:rsidRPr="00A824BC" w:rsidRDefault="00A824BC" w:rsidP="00A824BC">
      <w:pPr>
        <w:tabs>
          <w:tab w:val="left" w:pos="2410"/>
        </w:tabs>
        <w:suppressAutoHyphens/>
        <w:ind w:left="2410" w:hanging="2410"/>
        <w:rPr>
          <w:rFonts w:ascii="Verdana" w:hAnsi="Verdana"/>
          <w:sz w:val="16"/>
          <w:szCs w:val="16"/>
          <w:lang w:val="fr-FR"/>
        </w:rPr>
      </w:pPr>
      <w:r w:rsidRPr="00A824BC">
        <w:rPr>
          <w:rFonts w:ascii="Verdana" w:hAnsi="Verdana"/>
          <w:sz w:val="16"/>
          <w:szCs w:val="16"/>
          <w:lang w:val="fr-FR"/>
        </w:rPr>
        <w:t>Procédé de laquage:</w:t>
      </w:r>
      <w:r w:rsidRPr="00A824BC">
        <w:rPr>
          <w:rFonts w:ascii="Verdana" w:hAnsi="Verdana"/>
          <w:sz w:val="16"/>
          <w:szCs w:val="16"/>
          <w:lang w:val="fr-FR"/>
        </w:rPr>
        <w:tab/>
        <w:t>Tous les radiateurs sont dégraissés, phosphatés, enduits d’une couche de protection primaire par cataphorèse et d’un poudrage électrostatique dans la couleur blanc Stelrad 9016.</w:t>
      </w:r>
    </w:p>
    <w:p w14:paraId="2ACBC61D"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Couleurs:</w:t>
      </w:r>
      <w:r w:rsidRPr="00A824BC">
        <w:rPr>
          <w:rFonts w:ascii="Verdana" w:hAnsi="Verdana"/>
          <w:sz w:val="16"/>
          <w:szCs w:val="16"/>
          <w:lang w:val="fr-FR"/>
        </w:rPr>
        <w:tab/>
        <w:t>blanc Stelrad 9016 + 35 autres couleurs de Stelrad ou 200 couleurs RAL</w:t>
      </w:r>
    </w:p>
    <w:p w14:paraId="667C0E50" w14:textId="77777777" w:rsidR="00A824BC" w:rsidRPr="00A824BC" w:rsidRDefault="00A824BC" w:rsidP="00A824BC">
      <w:pPr>
        <w:tabs>
          <w:tab w:val="left" w:pos="2410"/>
        </w:tabs>
        <w:suppressAutoHyphens/>
        <w:ind w:left="2410" w:hanging="2410"/>
        <w:rPr>
          <w:rFonts w:ascii="Verdana" w:hAnsi="Verdana"/>
          <w:sz w:val="16"/>
          <w:szCs w:val="16"/>
          <w:lang w:val="fr-FR"/>
        </w:rPr>
      </w:pPr>
      <w:r w:rsidRPr="00A824BC">
        <w:rPr>
          <w:rFonts w:ascii="Verdana" w:hAnsi="Verdana"/>
          <w:sz w:val="16"/>
          <w:szCs w:val="16"/>
          <w:lang w:val="fr-FR"/>
        </w:rPr>
        <w:t>Compteur de chaleur:</w:t>
      </w:r>
      <w:r w:rsidRPr="00A824BC">
        <w:rPr>
          <w:rFonts w:ascii="Verdana" w:hAnsi="Verdana"/>
          <w:sz w:val="16"/>
          <w:szCs w:val="16"/>
          <w:lang w:val="fr-FR"/>
        </w:rPr>
        <w:tab/>
        <w:t>Approprié aux compteurs de chaleur, électriques ou selon le principe d’évaporation (conforme EN834 &amp; 835).</w:t>
      </w:r>
    </w:p>
    <w:p w14:paraId="403E13B7"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Pression de service max.:</w:t>
      </w:r>
      <w:r w:rsidRPr="00A824BC">
        <w:rPr>
          <w:rFonts w:ascii="Verdana" w:hAnsi="Verdana"/>
          <w:sz w:val="16"/>
          <w:szCs w:val="16"/>
          <w:lang w:val="fr-FR"/>
        </w:rPr>
        <w:tab/>
        <w:t>10 bar (testé à 13 bar)</w:t>
      </w:r>
    </w:p>
    <w:p w14:paraId="2887289A"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Température max.:</w:t>
      </w:r>
      <w:r w:rsidRPr="00A824BC">
        <w:rPr>
          <w:rFonts w:ascii="Verdana" w:hAnsi="Verdana"/>
          <w:sz w:val="16"/>
          <w:szCs w:val="16"/>
          <w:lang w:val="fr-FR"/>
        </w:rPr>
        <w:tab/>
        <w:t>110 °C</w:t>
      </w:r>
    </w:p>
    <w:p w14:paraId="642D5C9B"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Conformité:</w:t>
      </w:r>
      <w:r w:rsidRPr="00A824BC">
        <w:rPr>
          <w:rFonts w:ascii="Verdana" w:hAnsi="Verdana"/>
          <w:sz w:val="16"/>
          <w:szCs w:val="16"/>
          <w:lang w:val="fr-FR"/>
        </w:rPr>
        <w:tab/>
        <w:t>selon EN442</w:t>
      </w:r>
    </w:p>
    <w:p w14:paraId="3B469D25"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Qualité certifiée:</w:t>
      </w:r>
      <w:r w:rsidRPr="00A824BC">
        <w:rPr>
          <w:rFonts w:ascii="Verdana" w:hAnsi="Verdana"/>
          <w:sz w:val="16"/>
          <w:szCs w:val="16"/>
          <w:lang w:val="fr-FR"/>
        </w:rPr>
        <w:tab/>
        <w:t>NF</w:t>
      </w:r>
    </w:p>
    <w:p w14:paraId="1F07716E"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Déclaration d’équivalence:</w:t>
      </w:r>
      <w:r w:rsidRPr="00A824BC">
        <w:rPr>
          <w:rFonts w:ascii="Verdana" w:hAnsi="Verdana"/>
          <w:sz w:val="16"/>
          <w:szCs w:val="16"/>
          <w:lang w:val="fr-FR"/>
        </w:rPr>
        <w:tab/>
        <w:t>Bureau CRG et Kiwa</w:t>
      </w:r>
    </w:p>
    <w:p w14:paraId="7B974C65"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Types:</w:t>
      </w:r>
      <w:r w:rsidRPr="00A824BC">
        <w:rPr>
          <w:rFonts w:ascii="Verdana" w:hAnsi="Verdana"/>
          <w:sz w:val="16"/>
          <w:szCs w:val="16"/>
          <w:lang w:val="fr-FR"/>
        </w:rPr>
        <w:tab/>
        <w:t>11 | 21 | 22 | 33</w:t>
      </w:r>
    </w:p>
    <w:p w14:paraId="765AAACF"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Hauteurs:</w:t>
      </w:r>
      <w:r w:rsidRPr="00A824BC">
        <w:rPr>
          <w:rFonts w:ascii="Verdana" w:hAnsi="Verdana"/>
          <w:sz w:val="16"/>
          <w:szCs w:val="16"/>
          <w:lang w:val="fr-FR"/>
        </w:rPr>
        <w:tab/>
        <w:t>300 | 400 | 500 | 600 | 700 | 900 mm</w:t>
      </w:r>
    </w:p>
    <w:p w14:paraId="0F57CB9A" w14:textId="77777777" w:rsidR="00A824BC"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Longueurs:</w:t>
      </w:r>
      <w:r w:rsidRPr="00A824BC">
        <w:rPr>
          <w:rFonts w:ascii="Verdana" w:hAnsi="Verdana"/>
          <w:sz w:val="16"/>
          <w:szCs w:val="16"/>
          <w:lang w:val="fr-FR"/>
        </w:rPr>
        <w:tab/>
        <w:t>400 – 3.000 mm</w:t>
      </w:r>
    </w:p>
    <w:p w14:paraId="362A84EC" w14:textId="77777777" w:rsidR="001D5220" w:rsidRPr="00A824BC" w:rsidRDefault="00A824BC" w:rsidP="00A824BC">
      <w:pPr>
        <w:tabs>
          <w:tab w:val="left" w:pos="2410"/>
        </w:tabs>
        <w:suppressAutoHyphens/>
        <w:rPr>
          <w:rFonts w:ascii="Verdana" w:hAnsi="Verdana"/>
          <w:sz w:val="16"/>
          <w:szCs w:val="16"/>
          <w:lang w:val="fr-FR"/>
        </w:rPr>
      </w:pPr>
      <w:r w:rsidRPr="00A824BC">
        <w:rPr>
          <w:rFonts w:ascii="Verdana" w:hAnsi="Verdana"/>
          <w:sz w:val="16"/>
          <w:szCs w:val="16"/>
          <w:lang w:val="fr-FR"/>
        </w:rPr>
        <w:t>Profondeurs:</w:t>
      </w:r>
      <w:r w:rsidRPr="00A824BC">
        <w:rPr>
          <w:rFonts w:ascii="Verdana" w:hAnsi="Verdana"/>
          <w:sz w:val="16"/>
          <w:szCs w:val="16"/>
          <w:lang w:val="fr-FR"/>
        </w:rPr>
        <w:tab/>
        <w:t>61 | 77 | 100 | 158 mm</w:t>
      </w:r>
    </w:p>
    <w:sectPr w:rsidR="001D5220" w:rsidRPr="00A824BC"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7CDC" w14:textId="77777777" w:rsidR="006B479A" w:rsidRDefault="006B479A" w:rsidP="00AD4C15">
      <w:pPr>
        <w:spacing w:after="0" w:line="240" w:lineRule="auto"/>
      </w:pPr>
      <w:r>
        <w:separator/>
      </w:r>
    </w:p>
  </w:endnote>
  <w:endnote w:type="continuationSeparator" w:id="0">
    <w:p w14:paraId="0FAF05CE" w14:textId="77777777" w:rsidR="006B479A" w:rsidRDefault="006B479A"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317F" w14:textId="77777777" w:rsidR="006B479A" w:rsidRDefault="006B479A" w:rsidP="00AD4C15">
      <w:pPr>
        <w:spacing w:after="0" w:line="240" w:lineRule="auto"/>
      </w:pPr>
      <w:r>
        <w:separator/>
      </w:r>
    </w:p>
  </w:footnote>
  <w:footnote w:type="continuationSeparator" w:id="0">
    <w:p w14:paraId="3713F7A8" w14:textId="77777777" w:rsidR="006B479A" w:rsidRDefault="006B479A"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13FC1"/>
    <w:rsid w:val="00036921"/>
    <w:rsid w:val="00041B7A"/>
    <w:rsid w:val="000456D4"/>
    <w:rsid w:val="00064364"/>
    <w:rsid w:val="00077E6D"/>
    <w:rsid w:val="00081AF2"/>
    <w:rsid w:val="000A6419"/>
    <w:rsid w:val="000B6098"/>
    <w:rsid w:val="000C7274"/>
    <w:rsid w:val="000C7738"/>
    <w:rsid w:val="000D018D"/>
    <w:rsid w:val="000E10FE"/>
    <w:rsid w:val="00106605"/>
    <w:rsid w:val="00124A8C"/>
    <w:rsid w:val="00134073"/>
    <w:rsid w:val="00134A98"/>
    <w:rsid w:val="0014139F"/>
    <w:rsid w:val="001419BA"/>
    <w:rsid w:val="00146C1B"/>
    <w:rsid w:val="001550A6"/>
    <w:rsid w:val="00156040"/>
    <w:rsid w:val="00163D77"/>
    <w:rsid w:val="001D2832"/>
    <w:rsid w:val="001D5220"/>
    <w:rsid w:val="001E0814"/>
    <w:rsid w:val="0021794F"/>
    <w:rsid w:val="002211D8"/>
    <w:rsid w:val="00224089"/>
    <w:rsid w:val="00224C20"/>
    <w:rsid w:val="00230E70"/>
    <w:rsid w:val="0025180B"/>
    <w:rsid w:val="00271E06"/>
    <w:rsid w:val="0027423A"/>
    <w:rsid w:val="002758CA"/>
    <w:rsid w:val="00277A1F"/>
    <w:rsid w:val="00282156"/>
    <w:rsid w:val="002B391C"/>
    <w:rsid w:val="002B40BD"/>
    <w:rsid w:val="002E3F18"/>
    <w:rsid w:val="0032244A"/>
    <w:rsid w:val="00325BAF"/>
    <w:rsid w:val="00355749"/>
    <w:rsid w:val="00360FFA"/>
    <w:rsid w:val="0036590C"/>
    <w:rsid w:val="003915FB"/>
    <w:rsid w:val="003B5542"/>
    <w:rsid w:val="003C15E3"/>
    <w:rsid w:val="003C2724"/>
    <w:rsid w:val="003F0D6C"/>
    <w:rsid w:val="003F2AF8"/>
    <w:rsid w:val="00422C03"/>
    <w:rsid w:val="00430D82"/>
    <w:rsid w:val="00432047"/>
    <w:rsid w:val="00456F46"/>
    <w:rsid w:val="0046476B"/>
    <w:rsid w:val="00465824"/>
    <w:rsid w:val="00473FF4"/>
    <w:rsid w:val="00480990"/>
    <w:rsid w:val="004B3722"/>
    <w:rsid w:val="004B5F1B"/>
    <w:rsid w:val="004E10DD"/>
    <w:rsid w:val="00500A84"/>
    <w:rsid w:val="00517EDD"/>
    <w:rsid w:val="00520D23"/>
    <w:rsid w:val="005221E5"/>
    <w:rsid w:val="005309FD"/>
    <w:rsid w:val="00554692"/>
    <w:rsid w:val="00566A99"/>
    <w:rsid w:val="005A796E"/>
    <w:rsid w:val="005C0AA6"/>
    <w:rsid w:val="005D368D"/>
    <w:rsid w:val="005E2C5D"/>
    <w:rsid w:val="00611F8B"/>
    <w:rsid w:val="006246A8"/>
    <w:rsid w:val="00625FC3"/>
    <w:rsid w:val="0063081C"/>
    <w:rsid w:val="006329F3"/>
    <w:rsid w:val="00642F1D"/>
    <w:rsid w:val="00657B4E"/>
    <w:rsid w:val="00663010"/>
    <w:rsid w:val="00674502"/>
    <w:rsid w:val="00680DE3"/>
    <w:rsid w:val="006A1004"/>
    <w:rsid w:val="006B0057"/>
    <w:rsid w:val="006B1293"/>
    <w:rsid w:val="006B479A"/>
    <w:rsid w:val="006B4A30"/>
    <w:rsid w:val="006B65EC"/>
    <w:rsid w:val="006D3835"/>
    <w:rsid w:val="006F43FE"/>
    <w:rsid w:val="00723F5E"/>
    <w:rsid w:val="007427D3"/>
    <w:rsid w:val="00744284"/>
    <w:rsid w:val="0074554A"/>
    <w:rsid w:val="00770BBE"/>
    <w:rsid w:val="007904D9"/>
    <w:rsid w:val="007A002C"/>
    <w:rsid w:val="007A3367"/>
    <w:rsid w:val="007A5FBF"/>
    <w:rsid w:val="007B0A65"/>
    <w:rsid w:val="007B2136"/>
    <w:rsid w:val="00823956"/>
    <w:rsid w:val="0082767A"/>
    <w:rsid w:val="00876C4A"/>
    <w:rsid w:val="008829B5"/>
    <w:rsid w:val="00882C83"/>
    <w:rsid w:val="00896594"/>
    <w:rsid w:val="008B6EF1"/>
    <w:rsid w:val="00964C8B"/>
    <w:rsid w:val="00977DF0"/>
    <w:rsid w:val="00984C1B"/>
    <w:rsid w:val="009867C1"/>
    <w:rsid w:val="009917FD"/>
    <w:rsid w:val="00992526"/>
    <w:rsid w:val="00995CB9"/>
    <w:rsid w:val="00997945"/>
    <w:rsid w:val="009A0583"/>
    <w:rsid w:val="009A36D8"/>
    <w:rsid w:val="009A3AF6"/>
    <w:rsid w:val="009A4528"/>
    <w:rsid w:val="00A30275"/>
    <w:rsid w:val="00A66031"/>
    <w:rsid w:val="00A67F27"/>
    <w:rsid w:val="00A824BC"/>
    <w:rsid w:val="00AA38D5"/>
    <w:rsid w:val="00AB3D29"/>
    <w:rsid w:val="00AC1E60"/>
    <w:rsid w:val="00AC741A"/>
    <w:rsid w:val="00AD1BEA"/>
    <w:rsid w:val="00AD4C15"/>
    <w:rsid w:val="00AD6E4B"/>
    <w:rsid w:val="00AF16AD"/>
    <w:rsid w:val="00B00B88"/>
    <w:rsid w:val="00B10BC5"/>
    <w:rsid w:val="00B215A7"/>
    <w:rsid w:val="00B7722E"/>
    <w:rsid w:val="00B9027A"/>
    <w:rsid w:val="00BA0105"/>
    <w:rsid w:val="00BA0FBE"/>
    <w:rsid w:val="00BA3331"/>
    <w:rsid w:val="00BD700F"/>
    <w:rsid w:val="00BE451E"/>
    <w:rsid w:val="00C243C1"/>
    <w:rsid w:val="00C3611C"/>
    <w:rsid w:val="00C43039"/>
    <w:rsid w:val="00C66390"/>
    <w:rsid w:val="00C73932"/>
    <w:rsid w:val="00C91886"/>
    <w:rsid w:val="00CA2D46"/>
    <w:rsid w:val="00CB504F"/>
    <w:rsid w:val="00CF1822"/>
    <w:rsid w:val="00D05C71"/>
    <w:rsid w:val="00D43FA3"/>
    <w:rsid w:val="00D75769"/>
    <w:rsid w:val="00D85AD6"/>
    <w:rsid w:val="00D91118"/>
    <w:rsid w:val="00DE360C"/>
    <w:rsid w:val="00DE7451"/>
    <w:rsid w:val="00DF5FEF"/>
    <w:rsid w:val="00DF6CCD"/>
    <w:rsid w:val="00DF73DB"/>
    <w:rsid w:val="00E028A0"/>
    <w:rsid w:val="00E11295"/>
    <w:rsid w:val="00E553B2"/>
    <w:rsid w:val="00E565B0"/>
    <w:rsid w:val="00E643A2"/>
    <w:rsid w:val="00E76EFA"/>
    <w:rsid w:val="00E93030"/>
    <w:rsid w:val="00EB3A04"/>
    <w:rsid w:val="00EB5050"/>
    <w:rsid w:val="00EC7BA9"/>
    <w:rsid w:val="00EE5707"/>
    <w:rsid w:val="00F16A43"/>
    <w:rsid w:val="00F34597"/>
    <w:rsid w:val="00F6221A"/>
    <w:rsid w:val="00F6663B"/>
    <w:rsid w:val="00F71366"/>
    <w:rsid w:val="00F90D7C"/>
    <w:rsid w:val="00FB2FCA"/>
    <w:rsid w:val="00FD15B3"/>
    <w:rsid w:val="00FE48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2A9E"/>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1108-2618-454B-860C-6599ED76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3</cp:revision>
  <dcterms:created xsi:type="dcterms:W3CDTF">2018-07-10T07:51:00Z</dcterms:created>
  <dcterms:modified xsi:type="dcterms:W3CDTF">2022-05-12T11:18:00Z</dcterms:modified>
</cp:coreProperties>
</file>